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29.0" w:type="dxa"/>
        <w:jc w:val="center"/>
        <w:tblLayout w:type="fixed"/>
        <w:tblLook w:val="0400"/>
      </w:tblPr>
      <w:tblGrid>
        <w:gridCol w:w="2117"/>
        <w:gridCol w:w="4962"/>
        <w:gridCol w:w="1276"/>
        <w:gridCol w:w="1274"/>
        <w:tblGridChange w:id="0">
          <w:tblGrid>
            <w:gridCol w:w="2117"/>
            <w:gridCol w:w="4962"/>
            <w:gridCol w:w="1276"/>
            <w:gridCol w:w="1274"/>
          </w:tblGrid>
        </w:tblGridChange>
      </w:tblGrid>
      <w:tr>
        <w:trPr>
          <w:cantSplit w:val="0"/>
          <w:tblHeader w:val="0"/>
        </w:trPr>
        <w:tc>
          <w:tcPr>
            <w:vMerge w:val="restart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02">
            <w:pPr>
              <w:widowControl w:val="0"/>
              <w:spacing w:after="142" w:line="276" w:lineRule="auto"/>
              <w:ind w:left="-108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0" distT="0" distL="0" distR="0">
                  <wp:extent cx="1028700" cy="381000"/>
                  <wp:effectExtent b="0" l="0" r="0" t="0"/>
                  <wp:docPr descr="Uma imagem com texto, Tipo de letra, Gráficos, design&#10;&#10;Descrição gerada automaticamente" id="2" name="image1.jpg"/>
                  <a:graphic>
                    <a:graphicData uri="http://schemas.openxmlformats.org/drawingml/2006/picture">
                      <pic:pic>
                        <pic:nvPicPr>
                          <pic:cNvPr descr="Uma imagem com texto, Tipo de letra, Gráficos, design&#10;&#10;Descrição gerada automaticamente" id="0" name="image1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38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3">
            <w:pPr>
              <w:widowControl w:val="0"/>
              <w:spacing w:after="142" w:line="276" w:lineRule="auto"/>
              <w:ind w:left="-108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Verdana" w:cs="Verdana" w:eastAsia="Verdana" w:hAnsi="Verdana"/>
                <w:color w:val="6d6f72"/>
                <w:sz w:val="28"/>
                <w:szCs w:val="28"/>
                <w:highlight w:val="white"/>
                <w:rtl w:val="0"/>
              </w:rPr>
              <w:t xml:space="preserve">CTSP-TPSI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4">
            <w:pPr>
              <w:widowControl w:val="0"/>
              <w:spacing w:after="0" w:lineRule="auto"/>
              <w:ind w:left="-34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Prova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5">
            <w:pPr>
              <w:widowControl w:val="0"/>
              <w:spacing w:after="142" w:lineRule="auto"/>
              <w:ind w:left="-34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Exame (Parte TP)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06">
            <w:pPr>
              <w:widowControl w:val="0"/>
              <w:spacing w:after="142" w:lineRule="auto"/>
              <w:ind w:left="-28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16"/>
                <w:szCs w:val="16"/>
                <w:rtl w:val="0"/>
              </w:rPr>
              <w:t xml:space="preserve">Ano letivo</w:t>
            </w: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 2022/2023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widowControl w:val="0"/>
              <w:spacing w:after="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16"/>
                <w:szCs w:val="16"/>
                <w:rtl w:val="0"/>
              </w:rPr>
              <w:t xml:space="preserve">Data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widowControl w:val="0"/>
              <w:spacing w:after="142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14-7-2023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widowControl w:val="0"/>
              <w:spacing w:after="0" w:lineRule="auto"/>
              <w:ind w:left="-34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Unidade Curricular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spacing w:after="142" w:lineRule="auto"/>
              <w:ind w:left="-34" w:firstLine="0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Arte, Cultura e Comunicação na Era Digital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widowControl w:val="0"/>
              <w:spacing w:after="0" w:lineRule="auto"/>
              <w:ind w:left="-28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16"/>
                <w:szCs w:val="16"/>
                <w:rtl w:val="0"/>
              </w:rPr>
              <w:t xml:space="preserve">Hora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widowControl w:val="0"/>
              <w:spacing w:after="142" w:lineRule="auto"/>
              <w:ind w:left="-28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11h15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widowControl w:val="0"/>
              <w:spacing w:after="0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16"/>
                <w:szCs w:val="16"/>
                <w:rtl w:val="0"/>
              </w:rPr>
              <w:t xml:space="preserve">Duração TP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widowControl w:val="0"/>
              <w:spacing w:after="142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01h00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79.0" w:type="dxa"/>
        <w:jc w:val="left"/>
        <w:tblInd w:w="35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79"/>
        <w:tblGridChange w:id="0">
          <w:tblGrid>
            <w:gridCol w:w="937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spacing w:after="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A Prova de Recurso de “Arte, Cultura e Comunicação na Era Digital” é composta de duas partes – esta parte (Parte TP), com a duração de 60 minutos, e uma 2a parte (Parte Prática) com a duração de 60 minutos.</w:t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357"/>
        <w:jc w:val="center"/>
        <w:rPr/>
      </w:pPr>
      <w:r w:rsidDel="00000000" w:rsidR="00000000" w:rsidRPr="00000000">
        <w:rPr>
          <w:rtl w:val="0"/>
        </w:rPr>
        <w:t xml:space="preserve">Parte Teórico-Prática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357"/>
        <w:rPr>
          <w:rFonts w:ascii="Roboto" w:cs="Roboto" w:eastAsia="Roboto" w:hAnsi="Roboto"/>
          <w:color w:val="2021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highlight w:val="white"/>
          <w:rtl w:val="0"/>
        </w:rPr>
        <w:t xml:space="preserve">Esta é a parte “Teórico-Prática” da prova de ‘Recurso' da UC "ACCED" (CTSP-TPSI), que tem a duração prevista de 1h00.</w:t>
      </w:r>
    </w:p>
    <w:p w:rsidR="00000000" w:rsidDel="00000000" w:rsidP="00000000" w:rsidRDefault="00000000" w:rsidRPr="00000000" w14:paraId="00000016">
      <w:pPr>
        <w:ind w:firstLine="357"/>
        <w:rPr>
          <w:rFonts w:ascii="Roboto" w:cs="Roboto" w:eastAsia="Roboto" w:hAnsi="Roboto"/>
          <w:color w:val="2021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color w:val="202124"/>
          <w:highlight w:val="white"/>
          <w:rtl w:val="0"/>
        </w:rPr>
        <w:t xml:space="preserve">Esta parte da prova deve ser respondida nestas folhas de prova, para o que foi deixado um espaço vago considerado suficiente para a resposta – se necessitar de mais espaço, poderá pedir folhas adicionais ao Professor.</w:t>
      </w:r>
    </w:p>
    <w:p w:rsidR="00000000" w:rsidDel="00000000" w:rsidP="00000000" w:rsidRDefault="00000000" w:rsidRPr="00000000" w14:paraId="00000017">
      <w:pPr>
        <w:ind w:firstLine="357"/>
        <w:rPr>
          <w:rFonts w:ascii="Roboto" w:cs="Roboto" w:eastAsia="Roboto" w:hAnsi="Roboto"/>
          <w:color w:val="202124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4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color w:val="202124"/>
          <w:highlight w:val="white"/>
          <w:rtl w:val="0"/>
        </w:rPr>
        <w:t xml:space="preserve">Leia atentamente todas as perguntas e responda da forma mais completa e coerente que conseguir - respostas genéricas, evasivas, ou incoerentes não serão cotadas.</w:t>
      </w:r>
    </w:p>
    <w:p w:rsidR="00000000" w:rsidDel="00000000" w:rsidP="00000000" w:rsidRDefault="00000000" w:rsidRPr="00000000" w14:paraId="00000018">
      <w:pPr>
        <w:ind w:firstLine="357"/>
        <w:rPr>
          <w:rFonts w:ascii="Roboto" w:cs="Roboto" w:eastAsia="Roboto" w:hAnsi="Roboto"/>
          <w:color w:val="202124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730.0" w:type="dxa"/>
        <w:jc w:val="left"/>
        <w:tblLayout w:type="fixed"/>
        <w:tblLook w:val="0400"/>
      </w:tblPr>
      <w:tblGrid>
        <w:gridCol w:w="8465"/>
        <w:gridCol w:w="1265"/>
        <w:tblGridChange w:id="0">
          <w:tblGrid>
            <w:gridCol w:w="8465"/>
            <w:gridCol w:w="126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19">
            <w:pPr>
              <w:widowControl w:val="0"/>
              <w:numPr>
                <w:ilvl w:val="0"/>
                <w:numId w:val="1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color w:val="202124"/>
                <w:sz w:val="24"/>
                <w:szCs w:val="24"/>
                <w:rtl w:val="0"/>
              </w:rPr>
              <w:t xml:space="preserve">Está em curso uma campanha publicitária "Open to Meraviglia" baseada na personagem central da obra "O nascimento de Vénus", de Botticelli. Qual a ideia central dessa campanha? Como está a obra de Botticelli a ser utilizada nessa campanha publicitária? Quais os elementos de Arte, Cultura, Comunicação e inovação digital que se encontram na iniciativa "Open to Meraviglia"?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0.0" w:type="dxa"/>
              <w:right w:w="28.0" w:type="dxa"/>
            </w:tcMar>
          </w:tcPr>
          <w:p w:rsidR="00000000" w:rsidDel="00000000" w:rsidP="00000000" w:rsidRDefault="00000000" w:rsidRPr="00000000" w14:paraId="0000001A">
            <w:pPr>
              <w:widowControl w:val="0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(2 pontos)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right w:w="28.0" w:type="dxa"/>
            </w:tcMar>
          </w:tcPr>
          <w:p w:rsidR="00000000" w:rsidDel="00000000" w:rsidP="00000000" w:rsidRDefault="00000000" w:rsidRPr="00000000" w14:paraId="0000001B">
            <w:pPr>
              <w:widowControl w:val="0"/>
              <w:spacing w:after="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84"/>
        </w:tabs>
        <w:spacing w:after="0" w:before="0" w:line="240" w:lineRule="auto"/>
        <w:ind w:left="11" w:right="0" w:hanging="11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202124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202124"/>
          <w:sz w:val="24"/>
          <w:szCs w:val="24"/>
          <w:u w:val="none"/>
          <w:shd w:fill="auto" w:val="clear"/>
          <w:vertAlign w:val="baseline"/>
          <w:rtl w:val="0"/>
        </w:rPr>
        <w:t xml:space="preserve">Em que momento histórico se admite que se considera ter iniciado a interrelação entre Arte e Técnica? </w:t>
        <w:br w:type="textWrapping"/>
      </w:r>
    </w:p>
    <w:p w:rsidR="00000000" w:rsidDel="00000000" w:rsidP="00000000" w:rsidRDefault="00000000" w:rsidRPr="00000000" w14:paraId="00000029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 No séc. XX, após a II Grande Guerra.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 Durante o período do Renascimento, pela procura, pelos pintores da época, de pigmentos mais duráveis para as suas tintas.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 Com o aparecimento do cinema (sonoro), porque permitiu integrar várias tecnologias na produção de uma obra de arte (filme)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 A Arte e a Tecnologia sempre estiveram interrelacionadas.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 A Arte e a Tecnologia só se interrelacionam no momento do aparecimento da Arte Tecnológica (uma variante da Arte Digital)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Justifique a sua resposta: 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(1 ponto)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730.0" w:type="dxa"/>
        <w:jc w:val="left"/>
        <w:tblLayout w:type="fixed"/>
        <w:tblLook w:val="0400"/>
      </w:tblPr>
      <w:tblGrid>
        <w:gridCol w:w="8465"/>
        <w:gridCol w:w="1265"/>
        <w:tblGridChange w:id="0">
          <w:tblGrid>
            <w:gridCol w:w="8465"/>
            <w:gridCol w:w="126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3B">
            <w:pPr>
              <w:widowControl w:val="0"/>
              <w:numPr>
                <w:ilvl w:val="0"/>
                <w:numId w:val="1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rtl w:val="0"/>
              </w:rPr>
              <w:t xml:space="preserve">À semelhança da Publicidade, também actividades lúdicas / jogos recorrem muitas vezes a obras de Arte famosas como elementos centrais ou inspiradores da actividade de recreio ou jogo. Quais as principais razões que levam os produtores de jogos / actividades recreativas a desenvolver as suas propostas tendo por ponto de partida obras de Arte muito conhecidas? Indique alguns exemplos desta situação.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0.0" w:type="dxa"/>
              <w:right w:w="28.0" w:type="dxa"/>
            </w:tcMar>
          </w:tcPr>
          <w:p w:rsidR="00000000" w:rsidDel="00000000" w:rsidP="00000000" w:rsidRDefault="00000000" w:rsidRPr="00000000" w14:paraId="0000003C">
            <w:pPr>
              <w:widowControl w:val="0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(2 pontos)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right w:w="28.0" w:type="dxa"/>
            </w:tcMar>
          </w:tcPr>
          <w:p w:rsidR="00000000" w:rsidDel="00000000" w:rsidP="00000000" w:rsidRDefault="00000000" w:rsidRPr="00000000" w14:paraId="0000003D">
            <w:pPr>
              <w:widowControl w:val="0"/>
              <w:spacing w:after="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730.0" w:type="dxa"/>
        <w:jc w:val="left"/>
        <w:tblLayout w:type="fixed"/>
        <w:tblLook w:val="0400"/>
      </w:tblPr>
      <w:tblGrid>
        <w:gridCol w:w="8465"/>
        <w:gridCol w:w="1265"/>
        <w:tblGridChange w:id="0">
          <w:tblGrid>
            <w:gridCol w:w="8465"/>
            <w:gridCol w:w="126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1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rtl w:val="0"/>
              </w:rPr>
              <w:t xml:space="preserve">Considere a seguinte imagem, integrada na campanha publicitária “Open to Meraviglia”.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0.0" w:type="dxa"/>
              <w:right w:w="28.0" w:type="dxa"/>
            </w:tcMar>
          </w:tcPr>
          <w:p w:rsidR="00000000" w:rsidDel="00000000" w:rsidP="00000000" w:rsidRDefault="00000000" w:rsidRPr="00000000" w14:paraId="00000049">
            <w:pPr>
              <w:widowControl w:val="0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(1 ponto)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right w:w="28.0" w:type="dxa"/>
            </w:tcMar>
          </w:tcPr>
          <w:p w:rsidR="00000000" w:rsidDel="00000000" w:rsidP="00000000" w:rsidRDefault="00000000" w:rsidRPr="00000000" w14:paraId="0000004A">
            <w:pPr>
              <w:widowControl w:val="0"/>
              <w:spacing w:after="0" w:line="276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</w:rPr>
              <w:drawing>
                <wp:inline distB="114300" distT="114300" distL="114300" distR="114300">
                  <wp:extent cx="4419600" cy="3457575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13819" r="1413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345757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 obra(s) de arte de referência identifica nesta composição? Que elementos de alinhamento com a(s) obra(s) original(ais) encontra nesta composição? E que elementos de dissonância consegue identificar?</w:t>
            </w:r>
          </w:p>
          <w:p w:rsidR="00000000" w:rsidDel="00000000" w:rsidP="00000000" w:rsidRDefault="00000000" w:rsidRPr="00000000" w14:paraId="0000004C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 sua opinião, quais as razões que poderão ter levado o Autor à criação desta imagem?</w:t>
            </w:r>
          </w:p>
          <w:p w:rsidR="00000000" w:rsidDel="00000000" w:rsidP="00000000" w:rsidRDefault="00000000" w:rsidRPr="00000000" w14:paraId="0000004D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730.0" w:type="dxa"/>
        <w:jc w:val="left"/>
        <w:tblLayout w:type="fixed"/>
        <w:tblLook w:val="0400"/>
      </w:tblPr>
      <w:tblGrid>
        <w:gridCol w:w="8465"/>
        <w:gridCol w:w="1265"/>
        <w:tblGridChange w:id="0">
          <w:tblGrid>
            <w:gridCol w:w="8465"/>
            <w:gridCol w:w="126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</w:tcBorders>
          </w:tcPr>
          <w:p w:rsidR="00000000" w:rsidDel="00000000" w:rsidP="00000000" w:rsidRDefault="00000000" w:rsidRPr="00000000" w14:paraId="0000005C">
            <w:pPr>
              <w:widowControl w:val="0"/>
              <w:numPr>
                <w:ilvl w:val="0"/>
                <w:numId w:val="1"/>
              </w:numPr>
              <w:spacing w:after="0" w:line="276" w:lineRule="auto"/>
              <w:ind w:left="720" w:hanging="36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Roboto" w:cs="Roboto" w:eastAsia="Roboto" w:hAnsi="Roboto"/>
                <w:color w:val="202124"/>
                <w:rtl w:val="0"/>
              </w:rPr>
              <w:t xml:space="preserve">Considere o seguinte conjunto de selos, de vários países diferentes: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left w:w="0.0" w:type="dxa"/>
              <w:right w:w="28.0" w:type="dxa"/>
            </w:tcMar>
          </w:tcPr>
          <w:p w:rsidR="00000000" w:rsidDel="00000000" w:rsidP="00000000" w:rsidRDefault="00000000" w:rsidRPr="00000000" w14:paraId="0000005D">
            <w:pPr>
              <w:widowControl w:val="0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(1 ponto)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right w:w="28.0" w:type="dxa"/>
            </w:tcMar>
          </w:tcPr>
          <w:p w:rsidR="00000000" w:rsidDel="00000000" w:rsidP="00000000" w:rsidRDefault="00000000" w:rsidRPr="00000000" w14:paraId="0000005E">
            <w:pPr>
              <w:widowControl w:val="0"/>
              <w:spacing w:after="0" w:line="276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/>
              <w:drawing>
                <wp:inline distB="114300" distT="114300" distL="114300" distR="114300">
                  <wp:extent cx="5873963" cy="3210613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3963" cy="32106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Que obra(s) de arte de referência identifica nesta composição? Que elementos de alinhamento com as obras originais encontra nesta composição? E que elementos de dissonância consegue identificar?</w:t>
            </w:r>
          </w:p>
          <w:p w:rsidR="00000000" w:rsidDel="00000000" w:rsidP="00000000" w:rsidRDefault="00000000" w:rsidRPr="00000000" w14:paraId="00000060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 sua opinião, quais as razões que poderão ter levado o diversos países a escolher este tema para os seus selos?</w:t>
            </w:r>
          </w:p>
          <w:p w:rsidR="00000000" w:rsidDel="00000000" w:rsidP="00000000" w:rsidRDefault="00000000" w:rsidRPr="00000000" w14:paraId="00000061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5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spacing w:after="0" w:before="280" w:line="276" w:lineRule="auto"/>
              <w:ind w:left="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Rule="auto"/>
        <w:ind w:left="0" w:firstLine="0"/>
        <w:rPr>
          <w:rFonts w:ascii="Roboto" w:cs="Roboto" w:eastAsia="Roboto" w:hAnsi="Roboto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84"/>
        </w:tabs>
        <w:spacing w:after="0" w:before="0" w:line="240" w:lineRule="auto"/>
        <w:ind w:left="11" w:right="0" w:hanging="11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202124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color w:val="202124"/>
          <w:sz w:val="24"/>
          <w:szCs w:val="24"/>
          <w:rtl w:val="0"/>
        </w:rPr>
        <w:t xml:space="preserve">No documento "Arts in the digital era", como são descritos os video-jogos, em termos das áreas necessárias ao seu desenvolvimento?</w:t>
      </w:r>
      <w:r w:rsidDel="00000000" w:rsidR="00000000" w:rsidRPr="00000000">
        <w:rPr>
          <w:rFonts w:ascii="Roboto" w:cs="Roboto" w:eastAsia="Roboto" w:hAnsi="Roboto"/>
          <w:b w:val="0"/>
          <w:i w:val="0"/>
          <w:smallCaps w:val="0"/>
          <w:strike w:val="0"/>
          <w:color w:val="202124"/>
          <w:sz w:val="24"/>
          <w:szCs w:val="24"/>
          <w:u w:val="none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6E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 Como uma combinação de Programação 3D e Psicologia da Dependência (entre outros).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 Como uma combinação de Artes Visuais, Música e Escrita de Narrativa, entre outros.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 Como uma combinação de Animação, Projecto Conceptual e Dobragem (ou sintetização de voz) (entre outros)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Rule="auto"/>
        <w:ind w:left="180" w:firstLine="0"/>
        <w:rPr>
          <w:rFonts w:ascii="Roboto" w:cs="Roboto" w:eastAsia="Roboto" w:hAnsi="Roboto"/>
          <w:color w:val="202124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 Como uma Combinação de Teatro (ou Ópera), realidade virtual e animação 3D (entre outros).</w:t>
      </w:r>
    </w:p>
    <w:p w:rsidR="00000000" w:rsidDel="00000000" w:rsidP="00000000" w:rsidRDefault="00000000" w:rsidRPr="00000000" w14:paraId="00000072">
      <w:pPr>
        <w:spacing w:after="0" w:lineRule="auto"/>
        <w:ind w:left="180" w:firstLine="0"/>
        <w:rPr>
          <w:rFonts w:ascii="Roboto" w:cs="Roboto" w:eastAsia="Roboto" w:hAnsi="Roboto"/>
          <w:color w:val="202124"/>
        </w:rPr>
      </w:pPr>
      <w:r w:rsidDel="00000000" w:rsidR="00000000" w:rsidRPr="00000000">
        <w:rPr>
          <w:rFonts w:ascii="Noto Sans Symbols" w:cs="Noto Sans Symbols" w:eastAsia="Noto Sans Symbols" w:hAnsi="Noto Sans Symbols"/>
          <w:color w:val="202124"/>
          <w:rtl w:val="0"/>
        </w:rPr>
        <w:t xml:space="preserve">⬜ </w:t>
      </w:r>
      <w:r w:rsidDel="00000000" w:rsidR="00000000" w:rsidRPr="00000000">
        <w:rPr>
          <w:rFonts w:ascii="Roboto" w:cs="Roboto" w:eastAsia="Roboto" w:hAnsi="Roboto"/>
          <w:color w:val="202124"/>
          <w:rtl w:val="0"/>
        </w:rPr>
        <w:t xml:space="preserve">Todos os anteriores</w:t>
      </w:r>
    </w:p>
    <w:p w:rsidR="00000000" w:rsidDel="00000000" w:rsidP="00000000" w:rsidRDefault="00000000" w:rsidRPr="00000000" w14:paraId="00000073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0" w:lineRule="auto"/>
        <w:ind w:left="180" w:firstLine="0"/>
        <w:rPr>
          <w:rFonts w:ascii="Roboto" w:cs="Roboto" w:eastAsia="Roboto" w:hAnsi="Roboto"/>
          <w:color w:val="202124"/>
          <w:sz w:val="27"/>
          <w:szCs w:val="27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Justifique a sua resposta: _____________________________________________________________________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firstLine="357"/>
        <w:rPr>
          <w:rFonts w:ascii="Roboto" w:cs="Roboto" w:eastAsia="Roboto" w:hAnsi="Roboto"/>
          <w:color w:val="202124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02124"/>
          <w:sz w:val="21"/>
          <w:szCs w:val="21"/>
          <w:rtl w:val="0"/>
        </w:rPr>
        <w:t xml:space="preserve">______________________________________________________________________________________________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(1 ponto)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firstLine="357"/>
        <w:jc w:val="center"/>
        <w:rPr/>
      </w:pPr>
      <w:r w:rsidDel="00000000" w:rsidR="00000000" w:rsidRPr="00000000">
        <w:rPr>
          <w:rtl w:val="0"/>
        </w:rPr>
        <w:t xml:space="preserve">= FIM =</w:t>
      </w:r>
    </w:p>
    <w:sectPr>
      <w:pgSz w:h="16838" w:w="11906" w:orient="portrait"/>
      <w:pgMar w:bottom="566.9291338582677" w:top="566.9291338582677" w:left="1077.1653543307089" w:right="1077.1653543307089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Verdan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Liberation Sans"/>
  <w:font w:name="Noto Sans Symbols">
    <w:embedRegular w:fontKey="{00000000-0000-0000-0000-000000000000}" r:id="rId9" w:subsetted="0"/>
    <w:embedBold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ontserrat" w:cs="Montserrat" w:eastAsia="Montserrat" w:hAnsi="Montserrat"/>
        <w:sz w:val="22"/>
        <w:szCs w:val="22"/>
        <w:lang w:val="it-IT"/>
      </w:rPr>
    </w:rPrDefault>
    <w:pPrDefault>
      <w:pPr>
        <w:spacing w:after="60" w:lineRule="auto"/>
        <w:ind w:left="357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spacing w:after="120" w:before="240" w:lineRule="auto"/>
    </w:pPr>
    <w:rPr>
      <w:rFonts w:ascii="Liberation Sans" w:cs="Liberation Sans" w:eastAsia="Liberation Sans" w:hAnsi="Liberation Sans"/>
      <w:sz w:val="28"/>
      <w:szCs w:val="2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28.0" w:type="dxa"/>
        <w:left w:w="28.0" w:type="dxa"/>
        <w:bottom w:w="28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28.0" w:type="dxa"/>
        <w:left w:w="28.0" w:type="dxa"/>
        <w:bottom w:w="28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28.0" w:type="dxa"/>
        <w:left w:w="28.0" w:type="dxa"/>
        <w:bottom w:w="28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28.0" w:type="dxa"/>
        <w:left w:w="28.0" w:type="dxa"/>
        <w:bottom w:w="28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0" Type="http://schemas.openxmlformats.org/officeDocument/2006/relationships/font" Target="fonts/NotoSansSymbols-bold.ttf"/><Relationship Id="rId9" Type="http://schemas.openxmlformats.org/officeDocument/2006/relationships/font" Target="fonts/NotoSansSymbols-regular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